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2.1  ·  SECTION 2: ISO 20000 REQUIREMENTS</w:t>
      </w:r>
    </w:p>
    <w:p>
      <w:pPr>
        <w:spacing w:after="120"/>
      </w:pPr>
      <w:r>
        <w:rPr>
          <w:rFonts w:ascii="Arial" w:cs="Arial" w:eastAsia="Arial" w:hAnsi="Arial"/>
          <w:b/>
          <w:bCs/>
          <w:caps w:val="false"/>
          <w:color w:val="1B3A5C"/>
          <w:sz w:val="44"/>
          <w:szCs w:val="44"/>
        </w:rPr>
        <w:t xml:space="preserve">Clause 4: Understanding the Organization and Its Context</w:t>
      </w:r>
    </w:p>
    <w:p>
      <w:pPr>
        <w:spacing w:after="60"/>
      </w:pPr>
      <w:r>
        <w:rPr>
          <w:rFonts w:ascii="Georgia" w:cs="Georgia" w:eastAsia="Georgia" w:hAnsi="Georgia"/>
          <w:b w:val="false"/>
          <w:bCs w:val="false"/>
          <w:color w:val="4B5563"/>
          <w:sz w:val="24"/>
          <w:szCs w:val="24"/>
        </w:rPr>
        <w:t xml:space="preserve">How to define the internal and external context of the SMS, identify stakeholder needs and expectations, define the SMS scope, and determine legal, regulatory, and contractual requirements in the Indonesian context.</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Introduction: Why Context Understanding Matters</w:t>
      </w:r>
    </w:p>
    <w:p>
      <w:pPr>
        <w:spacing w:after="160" w:line="320"/>
        <w:jc w:val="both"/>
      </w:pPr>
      <w:r>
        <w:rPr>
          <w:rFonts w:ascii="Georgia" w:cs="Georgia" w:eastAsia="Georgia" w:hAnsi="Georgia"/>
          <w:b w:val="false"/>
          <w:bCs w:val="false"/>
          <w:color w:val="111827"/>
          <w:sz w:val="22"/>
          <w:szCs w:val="22"/>
        </w:rPr>
        <w:t xml:space="preserve">ISO 20000 Clause 4 establishes the foundation upon which the entire service management system is built. Before an organization can design, implement, and maintain an effective SMS, it must first understand itself—its internal strengths, constraints, and capabilities—and the external environment in which it operates. This understanding is not a one-time audit preparation exercise; it is an ongoing strategic process that informs every decision about service design, resource allocation, risk management, and service delivery objectives. An SMS designed in isolation, without genuine understanding of organizational context, stakeholder needs, and regulatory landscape, will inevitably fail during operation or struggle to deliver meaningful business value.</w:t>
      </w:r>
    </w:p>
    <w:p>
      <w:pPr>
        <w:spacing w:after="160" w:line="320"/>
        <w:jc w:val="both"/>
      </w:pPr>
      <w:r>
        <w:rPr>
          <w:rFonts w:ascii="Georgia" w:cs="Georgia" w:eastAsia="Georgia" w:hAnsi="Georgia"/>
          <w:b w:val="false"/>
          <w:bCs w:val="false"/>
          <w:color w:val="111827"/>
          <w:sz w:val="22"/>
          <w:szCs w:val="22"/>
        </w:rPr>
        <w:t xml:space="preserve">Clause 4 is organized around four interconnected requirements: understanding internal and external context (4.1), identifying interested parties and their needs (4.2), determining the SMS scope (4.3), and establishing the SMS itself (4.4). These are not sequential steps but rather continuous processes that influence each other.</w:t>
      </w:r>
    </w:p>
    <w:p>
      <w:pPr>
        <w:pBdr>
          <w:bottom w:val="single" w:color="2563A8" w:sz="4" w:space="4"/>
        </w:pBdr>
        <w:spacing w:after="160" w:before="400"/>
      </w:pPr>
      <w:r>
        <w:rPr>
          <w:rFonts w:ascii="Arial" w:cs="Arial" w:eastAsia="Arial" w:hAnsi="Arial"/>
          <w:b/>
          <w:bCs/>
          <w:caps w:val="false"/>
          <w:color w:val="1B3A5C"/>
          <w:sz w:val="28"/>
          <w:szCs w:val="28"/>
        </w:rPr>
        <w:t xml:space="preserve">Clause 4.1: Understanding Internal and External Context</w:t>
      </w:r>
    </w:p>
    <w:p>
      <w:pPr>
        <w:spacing w:after="160" w:line="320"/>
        <w:jc w:val="both"/>
      </w:pPr>
      <w:r>
        <w:rPr>
          <w:rFonts w:ascii="Georgia" w:cs="Georgia" w:eastAsia="Georgia" w:hAnsi="Georgia"/>
          <w:b w:val="false"/>
          <w:bCs w:val="false"/>
          <w:color w:val="111827"/>
          <w:sz w:val="22"/>
          <w:szCs w:val="22"/>
        </w:rPr>
        <w:t xml:space="preserve">Context analysis in ISO 20000 means examining all factors—internal and external—that could influence the design and operation of the SMS and its ability to achieve intended objectives. The standard does not prescribe a specific methodology; organizations may use PESTLE analysis, SWOT assessment, stakeholder mapping, or other structured approaches. What matters is that the analysis is systematic, documented, and revisited at defined intervals (at minimum annually, and whenever significant organizational or market changes occur).</w:t>
      </w:r>
    </w:p>
    <w:p>
      <w:pPr>
        <w:spacing w:after="80" w:before="200"/>
      </w:pPr>
      <w:r>
        <w:rPr>
          <w:rFonts w:ascii="Arial" w:cs="Arial" w:eastAsia="Arial" w:hAnsi="Arial"/>
          <w:b/>
          <w:bCs/>
          <w:caps w:val="false"/>
          <w:color w:val="1B3A5C"/>
          <w:sz w:val="22"/>
          <w:szCs w:val="22"/>
        </w:rPr>
        <w:t xml:space="preserve">Internal Context Factors</w:t>
      </w:r>
    </w:p>
    <w:p>
      <w:pPr>
        <w:spacing w:after="160" w:line="320"/>
        <w:jc w:val="both"/>
      </w:pPr>
      <w:r>
        <w:rPr>
          <w:rFonts w:ascii="Georgia" w:cs="Georgia" w:eastAsia="Georgia" w:hAnsi="Georgia"/>
          <w:b w:val="false"/>
          <w:bCs w:val="false"/>
          <w:color w:val="111827"/>
          <w:sz w:val="22"/>
          <w:szCs w:val="22"/>
        </w:rPr>
        <w:t xml:space="preserve">Internal factors are within the organization's control or direct knowledge. These include:</w:t>
      </w:r>
    </w:p>
    <w:p>
      <w:pPr>
        <w:spacing w:after="160" w:line="320"/>
        <w:jc w:val="both"/>
      </w:pPr>
      <w:r>
        <w:rPr>
          <w:rFonts w:ascii="Georgia" w:cs="Georgia" w:eastAsia="Georgia" w:hAnsi="Georgia"/>
          <w:b w:val="false"/>
          <w:bCs w:val="false"/>
          <w:color w:val="111827"/>
          <w:sz w:val="22"/>
          <w:szCs w:val="22"/>
        </w:rPr>
        <w:t xml:space="preserve">• Organizational culture and management philosophy (risk-averse vs. innovation-focused, hierarchical vs. flat)</w:t>
      </w:r>
    </w:p>
    <w:p>
      <w:pPr>
        <w:spacing w:after="160" w:line="320"/>
        <w:jc w:val="both"/>
      </w:pPr>
      <w:r>
        <w:rPr>
          <w:rFonts w:ascii="Georgia" w:cs="Georgia" w:eastAsia="Georgia" w:hAnsi="Georgia"/>
          <w:b w:val="false"/>
          <w:bCs w:val="false"/>
          <w:color w:val="111827"/>
          <w:sz w:val="22"/>
          <w:szCs w:val="22"/>
        </w:rPr>
        <w:t xml:space="preserve">• Governance structure and decision-making authority (centralized vs. distributed, how IT decisions are made)</w:t>
      </w:r>
    </w:p>
    <w:p>
      <w:pPr>
        <w:spacing w:after="160" w:line="320"/>
        <w:jc w:val="both"/>
      </w:pPr>
      <w:r>
        <w:rPr>
          <w:rFonts w:ascii="Georgia" w:cs="Georgia" w:eastAsia="Georgia" w:hAnsi="Georgia"/>
          <w:b w:val="false"/>
          <w:bCs w:val="false"/>
          <w:color w:val="111827"/>
          <w:sz w:val="22"/>
          <w:szCs w:val="22"/>
        </w:rPr>
        <w:t xml:space="preserve">• Capabilities and maturity of existing service management practices (starting from ad-hoc, progressing toward defined and optimized)</w:t>
      </w:r>
    </w:p>
    <w:p>
      <w:pPr>
        <w:spacing w:after="160" w:line="320"/>
        <w:jc w:val="both"/>
      </w:pPr>
      <w:r>
        <w:rPr>
          <w:rFonts w:ascii="Georgia" w:cs="Georgia" w:eastAsia="Georgia" w:hAnsi="Georgia"/>
          <w:b w:val="false"/>
          <w:bCs w:val="false"/>
          <w:color w:val="111827"/>
          <w:sz w:val="22"/>
          <w:szCs w:val="22"/>
        </w:rPr>
        <w:t xml:space="preserve">• Service portfolio and strategic direction (the breadth and depth of services the organization delivers)</w:t>
      </w:r>
    </w:p>
    <w:p>
      <w:pPr>
        <w:spacing w:after="160" w:line="320"/>
        <w:jc w:val="both"/>
      </w:pPr>
      <w:r>
        <w:rPr>
          <w:rFonts w:ascii="Georgia" w:cs="Georgia" w:eastAsia="Georgia" w:hAnsi="Georgia"/>
          <w:b w:val="false"/>
          <w:bCs w:val="false"/>
          <w:color w:val="111827"/>
          <w:sz w:val="22"/>
          <w:szCs w:val="22"/>
        </w:rPr>
        <w:t xml:space="preserve">• Financial resources and budget constraints (what the organization can invest in SMS implementation)</w:t>
      </w:r>
    </w:p>
    <w:p>
      <w:pPr>
        <w:spacing w:after="160" w:line="320"/>
        <w:jc w:val="both"/>
      </w:pPr>
      <w:r>
        <w:rPr>
          <w:rFonts w:ascii="Georgia" w:cs="Georgia" w:eastAsia="Georgia" w:hAnsi="Georgia"/>
          <w:b w:val="false"/>
          <w:bCs w:val="false"/>
          <w:color w:val="111827"/>
          <w:sz w:val="22"/>
          <w:szCs w:val="22"/>
        </w:rPr>
        <w:t xml:space="preserve">• Technology landscape and infrastructure (legacy systems, cloud adoption, integration capabilities, technology debt)</w:t>
      </w:r>
    </w:p>
    <w:p>
      <w:pPr>
        <w:spacing w:after="160" w:line="320"/>
        <w:jc w:val="both"/>
      </w:pPr>
      <w:r>
        <w:rPr>
          <w:rFonts w:ascii="Georgia" w:cs="Georgia" w:eastAsia="Georgia" w:hAnsi="Georgia"/>
          <w:b w:val="false"/>
          <w:bCs w:val="false"/>
          <w:color w:val="111827"/>
          <w:sz w:val="22"/>
          <w:szCs w:val="22"/>
        </w:rPr>
        <w:t xml:space="preserve">• Human resources and staff expertise (existing ITIL certification, service management experience, capacity for training)</w:t>
      </w:r>
    </w:p>
    <w:p>
      <w:pPr>
        <w:spacing w:after="160" w:line="320"/>
        <w:jc w:val="both"/>
      </w:pPr>
      <w:r>
        <w:rPr>
          <w:rFonts w:ascii="Georgia" w:cs="Georgia" w:eastAsia="Georgia" w:hAnsi="Georgia"/>
          <w:b w:val="false"/>
          <w:bCs w:val="false"/>
          <w:color w:val="111827"/>
          <w:sz w:val="22"/>
          <w:szCs w:val="22"/>
        </w:rPr>
        <w:t xml:space="preserve">• Existing documented information and information systems (quality of current documentation, ERP systems, knowledge management tools)</w:t>
      </w:r>
    </w:p>
    <w:p>
      <w:pPr>
        <w:spacing w:after="80" w:before="200"/>
      </w:pPr>
      <w:r>
        <w:rPr>
          <w:rFonts w:ascii="Arial" w:cs="Arial" w:eastAsia="Arial" w:hAnsi="Arial"/>
          <w:b/>
          <w:bCs/>
          <w:caps w:val="false"/>
          <w:color w:val="1B3A5C"/>
          <w:sz w:val="22"/>
          <w:szCs w:val="22"/>
        </w:rPr>
        <w:t xml:space="preserve">External Context Factors</w:t>
      </w:r>
    </w:p>
    <w:p>
      <w:pPr>
        <w:spacing w:after="160" w:line="320"/>
        <w:jc w:val="both"/>
      </w:pPr>
      <w:r>
        <w:rPr>
          <w:rFonts w:ascii="Georgia" w:cs="Georgia" w:eastAsia="Georgia" w:hAnsi="Georgia"/>
          <w:b w:val="false"/>
          <w:bCs w:val="false"/>
          <w:color w:val="111827"/>
          <w:sz w:val="22"/>
          <w:szCs w:val="22"/>
        </w:rPr>
        <w:t xml:space="preserve">External factors are in the organization's operating environment. These include:</w:t>
      </w:r>
    </w:p>
    <w:p>
      <w:pPr>
        <w:spacing w:after="160" w:line="320"/>
        <w:jc w:val="both"/>
      </w:pPr>
      <w:r>
        <w:rPr>
          <w:rFonts w:ascii="Georgia" w:cs="Georgia" w:eastAsia="Georgia" w:hAnsi="Georgia"/>
          <w:b w:val="false"/>
          <w:bCs w:val="false"/>
          <w:color w:val="111827"/>
          <w:sz w:val="22"/>
          <w:szCs w:val="22"/>
        </w:rPr>
        <w:t xml:space="preserve">• Regulatory requirements—in the Indonesian context specifically: POJK (Indonesian Financial Authority Regulations), BSSN (National Cyber and Encryption Agency) regulations, UU PDP (Law on Personal Data Protection), SPBE (Government Information System and Electronic-Based Applications) standards</w:t>
      </w:r>
    </w:p>
    <w:p>
      <w:pPr>
        <w:spacing w:after="160" w:line="320"/>
        <w:jc w:val="both"/>
      </w:pPr>
      <w:r>
        <w:rPr>
          <w:rFonts w:ascii="Georgia" w:cs="Georgia" w:eastAsia="Georgia" w:hAnsi="Georgia"/>
          <w:b w:val="false"/>
          <w:bCs w:val="false"/>
          <w:color w:val="111827"/>
          <w:sz w:val="22"/>
          <w:szCs w:val="22"/>
        </w:rPr>
        <w:t xml:space="preserve">• Market conditions and competitive landscape (who competitors are, how they deliver services, market consolidation pressures)</w:t>
      </w:r>
    </w:p>
    <w:p>
      <w:pPr>
        <w:spacing w:after="160" w:line="320"/>
        <w:jc w:val="both"/>
      </w:pPr>
      <w:r>
        <w:rPr>
          <w:rFonts w:ascii="Georgia" w:cs="Georgia" w:eastAsia="Georgia" w:hAnsi="Georgia"/>
          <w:b w:val="false"/>
          <w:bCs w:val="false"/>
          <w:color w:val="111827"/>
          <w:sz w:val="22"/>
          <w:szCs w:val="22"/>
        </w:rPr>
        <w:t xml:space="preserve">• Customer expectations and service demand trends (shift toward cloud, demand for managed services, 24/7 availability expectations)</w:t>
      </w:r>
    </w:p>
    <w:p>
      <w:pPr>
        <w:spacing w:after="160" w:line="320"/>
        <w:jc w:val="both"/>
      </w:pPr>
      <w:r>
        <w:rPr>
          <w:rFonts w:ascii="Georgia" w:cs="Georgia" w:eastAsia="Georgia" w:hAnsi="Georgia"/>
          <w:b w:val="false"/>
          <w:bCs w:val="false"/>
          <w:color w:val="111827"/>
          <w:sz w:val="22"/>
          <w:szCs w:val="22"/>
        </w:rPr>
        <w:t xml:space="preserve">• Industry standards and best practices (ISO/IEC standards, frameworks like ITIL, CobiT adoption in the industry)</w:t>
      </w:r>
    </w:p>
    <w:p>
      <w:pPr>
        <w:spacing w:after="160" w:line="320"/>
        <w:jc w:val="both"/>
      </w:pPr>
      <w:r>
        <w:rPr>
          <w:rFonts w:ascii="Georgia" w:cs="Georgia" w:eastAsia="Georgia" w:hAnsi="Georgia"/>
          <w:b w:val="false"/>
          <w:bCs w:val="false"/>
          <w:color w:val="111827"/>
          <w:sz w:val="22"/>
          <w:szCs w:val="22"/>
        </w:rPr>
        <w:t xml:space="preserve">• Economic environment and macro factors (inflation, exchange rates affecting cost of technology and outsourcing)</w:t>
      </w:r>
    </w:p>
    <w:p>
      <w:pPr>
        <w:spacing w:after="160" w:line="320"/>
        <w:jc w:val="both"/>
      </w:pPr>
      <w:r>
        <w:rPr>
          <w:rFonts w:ascii="Georgia" w:cs="Georgia" w:eastAsia="Georgia" w:hAnsi="Georgia"/>
          <w:b w:val="false"/>
          <w:bCs w:val="false"/>
          <w:color w:val="111827"/>
          <w:sz w:val="22"/>
          <w:szCs w:val="22"/>
        </w:rPr>
        <w:t xml:space="preserve">• Supply chain and technology partner dependencies (cloud providers, SaaS vendors, outsource service providers)</w:t>
      </w:r>
    </w:p>
    <w:p>
      <w:pPr>
        <w:spacing w:after="160" w:line="320"/>
        <w:jc w:val="both"/>
      </w:pPr>
      <w:r>
        <w:rPr>
          <w:rFonts w:ascii="Georgia" w:cs="Georgia" w:eastAsia="Georgia" w:hAnsi="Georgia"/>
          <w:b w:val="false"/>
          <w:bCs w:val="false"/>
          <w:color w:val="111827"/>
          <w:sz w:val="22"/>
          <w:szCs w:val="22"/>
        </w:rPr>
        <w:t xml:space="preserve">• Geopolitical factors (data sovereignty requirements, sanction implications, supply chain resilience)</w:t>
      </w:r>
    </w:p>
    <w:p>
      <w:pPr>
        <w:spacing w:after="80" w:before="200"/>
      </w:pPr>
      <w:r>
        <w:rPr>
          <w:rFonts w:ascii="Arial" w:cs="Arial" w:eastAsia="Arial" w:hAnsi="Arial"/>
          <w:b/>
          <w:bCs/>
          <w:caps w:val="false"/>
          <w:color w:val="1B3A5C"/>
          <w:sz w:val="22"/>
          <w:szCs w:val="22"/>
        </w:rPr>
        <w:t xml:space="preserve">Tools for Context Analysis</w:t>
      </w:r>
    </w:p>
    <w:p>
      <w:pPr>
        <w:spacing w:after="160" w:line="320"/>
        <w:jc w:val="both"/>
      </w:pPr>
      <w:r>
        <w:rPr>
          <w:rFonts w:ascii="Georgia" w:cs="Georgia" w:eastAsia="Georgia" w:hAnsi="Georgia"/>
          <w:b w:val="false"/>
          <w:bCs w:val="false"/>
          <w:color w:val="111827"/>
          <w:sz w:val="22"/>
          <w:szCs w:val="22"/>
        </w:rPr>
        <w:t xml:space="preserve">Organizations may conduct context analysis using formalized tools. PESTLE (Political, Economic, Social, Technological, Legal, Environmental) is a common starting point for external factors. SWOT (Strengths, Weaknesses, Opportunities, Threats) provides a four-quadrant view that bridges internal and external. Stakeholder mapping identifies who needs to influence the SMS design and what their priorities are. The output should be a documented context statement that explicitly articulates: what services are being managed, what the operating environment looks like, what risks and opportunities the SMS must address, and what constraints (budget, regulations, technology) shape SMS design.</w:t>
      </w:r>
    </w:p>
    <w:p>
      <w:pPr>
        <w:pBdr>
          <w:bottom w:val="single" w:color="2563A8" w:sz="4" w:space="4"/>
        </w:pBdr>
        <w:spacing w:after="160" w:before="400"/>
      </w:pPr>
      <w:r>
        <w:rPr>
          <w:rFonts w:ascii="Arial" w:cs="Arial" w:eastAsia="Arial" w:hAnsi="Arial"/>
          <w:b/>
          <w:bCs/>
          <w:caps w:val="false"/>
          <w:color w:val="1B3A5C"/>
          <w:sz w:val="28"/>
          <w:szCs w:val="28"/>
        </w:rPr>
        <w:t xml:space="preserve">Clause 4.2: Interested Parties and Their Needs and Expectations</w:t>
      </w:r>
    </w:p>
    <w:p>
      <w:pPr>
        <w:spacing w:after="160" w:line="320"/>
        <w:jc w:val="both"/>
      </w:pPr>
      <w:r>
        <w:rPr>
          <w:rFonts w:ascii="Georgia" w:cs="Georgia" w:eastAsia="Georgia" w:hAnsi="Georgia"/>
          <w:b w:val="false"/>
          <w:bCs w:val="false"/>
          <w:color w:val="111827"/>
          <w:sz w:val="22"/>
          <w:szCs w:val="22"/>
        </w:rPr>
        <w:t xml:space="preserve">Interested parties are any individuals, groups, or organizations that could affect or be affected by the SMS or its services. Identifying interested parties systematically (not casually) is critical because their needs and expectations shape SMS objectives and the design of service management practices. An SMS that achieves technical excellence but ignores customer needs or fails to meet regulatory expectations will still be considered non-compliant.</w:t>
      </w:r>
    </w:p>
    <w:p>
      <w:pPr>
        <w:spacing w:after="80" w:before="200"/>
      </w:pPr>
      <w:r>
        <w:rPr>
          <w:rFonts w:ascii="Arial" w:cs="Arial" w:eastAsia="Arial" w:hAnsi="Arial"/>
          <w:b/>
          <w:bCs/>
          <w:caps w:val="false"/>
          <w:color w:val="1B3A5C"/>
          <w:sz w:val="22"/>
          <w:szCs w:val="22"/>
        </w:rPr>
        <w:t xml:space="preserve">Who Are Interested Parties?</w:t>
      </w:r>
    </w:p>
    <w:p>
      <w:pPr>
        <w:spacing w:after="160" w:line="320"/>
        <w:jc w:val="both"/>
      </w:pPr>
      <w:r>
        <w:rPr>
          <w:rFonts w:ascii="Georgia" w:cs="Georgia" w:eastAsia="Georgia" w:hAnsi="Georgia"/>
          <w:b w:val="false"/>
          <w:bCs w:val="false"/>
          <w:color w:val="111827"/>
          <w:sz w:val="22"/>
          <w:szCs w:val="22"/>
        </w:rPr>
        <w:t xml:space="preserve">Typical interested party categories include:</w:t>
      </w:r>
    </w:p>
    <w:p>
      <w:pPr>
        <w:spacing w:after="160" w:line="320"/>
        <w:jc w:val="both"/>
      </w:pPr>
      <w:r>
        <w:rPr>
          <w:rFonts w:ascii="Georgia" w:cs="Georgia" w:eastAsia="Georgia" w:hAnsi="Georgia"/>
          <w:b w:val="false"/>
          <w:bCs w:val="false"/>
          <w:color w:val="111827"/>
          <w:sz w:val="22"/>
          <w:szCs w:val="22"/>
        </w:rPr>
        <w:t xml:space="preserve">• Customers and end users (the people and organizations consuming the services)</w:t>
      </w:r>
    </w:p>
    <w:p>
      <w:pPr>
        <w:spacing w:after="160" w:line="320"/>
        <w:jc w:val="both"/>
      </w:pPr>
      <w:r>
        <w:rPr>
          <w:rFonts w:ascii="Georgia" w:cs="Georgia" w:eastAsia="Georgia" w:hAnsi="Georgia"/>
          <w:b w:val="false"/>
          <w:bCs w:val="false"/>
          <w:color w:val="111827"/>
          <w:sz w:val="22"/>
          <w:szCs w:val="22"/>
        </w:rPr>
        <w:t xml:space="preserve">• Regulators and supervisory bodies (in Indonesia: OJK for financial services, BSSN for cybersecurity, PPATK for anti-money laundering, provincial/local authorities)</w:t>
      </w:r>
    </w:p>
    <w:p>
      <w:pPr>
        <w:spacing w:after="160" w:line="320"/>
        <w:jc w:val="both"/>
      </w:pPr>
      <w:r>
        <w:rPr>
          <w:rFonts w:ascii="Georgia" w:cs="Georgia" w:eastAsia="Georgia" w:hAnsi="Georgia"/>
          <w:b w:val="false"/>
          <w:bCs w:val="false"/>
          <w:color w:val="111827"/>
          <w:sz w:val="22"/>
          <w:szCs w:val="22"/>
        </w:rPr>
        <w:t xml:space="preserve">• Employees and service management staff (those operating the SMS day-to-day)</w:t>
      </w:r>
    </w:p>
    <w:p>
      <w:pPr>
        <w:spacing w:after="160" w:line="320"/>
        <w:jc w:val="both"/>
      </w:pPr>
      <w:r>
        <w:rPr>
          <w:rFonts w:ascii="Georgia" w:cs="Georgia" w:eastAsia="Georgia" w:hAnsi="Georgia"/>
          <w:b w:val="false"/>
          <w:bCs w:val="false"/>
          <w:color w:val="111827"/>
          <w:sz w:val="22"/>
          <w:szCs w:val="22"/>
        </w:rPr>
        <w:t xml:space="preserve">• Shareholders and board members (those with financial or governance interest in organizational success)</w:t>
      </w:r>
    </w:p>
    <w:p>
      <w:pPr>
        <w:spacing w:after="160" w:line="320"/>
        <w:jc w:val="both"/>
      </w:pPr>
      <w:r>
        <w:rPr>
          <w:rFonts w:ascii="Georgia" w:cs="Georgia" w:eastAsia="Georgia" w:hAnsi="Georgia"/>
          <w:b w:val="false"/>
          <w:bCs w:val="false"/>
          <w:color w:val="111827"/>
          <w:sz w:val="22"/>
          <w:szCs w:val="22"/>
        </w:rPr>
        <w:t xml:space="preserve">• Technology suppliers and service partners (cloud providers, outsource partners, software vendors)</w:t>
      </w:r>
    </w:p>
    <w:p>
      <w:pPr>
        <w:spacing w:after="160" w:line="320"/>
        <w:jc w:val="both"/>
      </w:pPr>
      <w:r>
        <w:rPr>
          <w:rFonts w:ascii="Georgia" w:cs="Georgia" w:eastAsia="Georgia" w:hAnsi="Georgia"/>
          <w:b w:val="false"/>
          <w:bCs w:val="false"/>
          <w:color w:val="111827"/>
          <w:sz w:val="22"/>
          <w:szCs w:val="22"/>
        </w:rPr>
        <w:t xml:space="preserve">• Industry associations and standards bodies (professional networks, industry forums)</w:t>
      </w:r>
    </w:p>
    <w:p>
      <w:pPr>
        <w:spacing w:after="160" w:line="320"/>
        <w:jc w:val="both"/>
      </w:pPr>
      <w:r>
        <w:rPr>
          <w:rFonts w:ascii="Georgia" w:cs="Georgia" w:eastAsia="Georgia" w:hAnsi="Georgia"/>
          <w:b w:val="false"/>
          <w:bCs w:val="false"/>
          <w:color w:val="111827"/>
          <w:sz w:val="22"/>
          <w:szCs w:val="22"/>
        </w:rPr>
        <w:t xml:space="preserve">• Adjacent organizational functions (finance, HR, legal, risk, compliance teams)</w:t>
      </w:r>
    </w:p>
    <w:p>
      <w:pPr>
        <w:spacing w:after="80" w:before="200"/>
      </w:pPr>
      <w:r>
        <w:rPr>
          <w:rFonts w:ascii="Arial" w:cs="Arial" w:eastAsia="Arial" w:hAnsi="Arial"/>
          <w:b/>
          <w:bCs/>
          <w:caps w:val="false"/>
          <w:color w:val="1B3A5C"/>
          <w:sz w:val="22"/>
          <w:szCs w:val="22"/>
        </w:rPr>
        <w:t xml:space="preserve">What Are Needs and Expectations?</w:t>
      </w:r>
    </w:p>
    <w:p>
      <w:pPr>
        <w:spacing w:after="160" w:line="320"/>
        <w:jc w:val="both"/>
      </w:pPr>
      <w:r>
        <w:rPr>
          <w:rFonts w:ascii="Georgia" w:cs="Georgia" w:eastAsia="Georgia" w:hAnsi="Georgia"/>
          <w:b w:val="false"/>
          <w:bCs w:val="false"/>
          <w:color w:val="111827"/>
          <w:sz w:val="22"/>
          <w:szCs w:val="22"/>
        </w:rPr>
        <w:t xml:space="preserve">Needs are explicit requirements; expectations are assumptions about what the SMS should do. A customer's need might be "99.5% uptime SLA," while an implicit expectation might be "security incidents will be resolved within 4 hours." Regulators' needs include compliance with applicable laws and regulations. Employees need clarity on roles, adequate tools, and access to training. Shareholders expect service delivery that supports business growth and manages risk. The SMS must identify both explicit and implicit expectations to avoid non-compliance surprises during an audit or regulatory examination.</w:t>
      </w:r>
    </w:p>
    <w:p>
      <w:pPr>
        <w:pBdr>
          <w:bottom w:val="single" w:color="2563A8" w:sz="4" w:space="4"/>
        </w:pBdr>
        <w:spacing w:after="160" w:before="400"/>
      </w:pPr>
      <w:r>
        <w:rPr>
          <w:rFonts w:ascii="Arial" w:cs="Arial" w:eastAsia="Arial" w:hAnsi="Arial"/>
          <w:b/>
          <w:bCs/>
          <w:caps w:val="false"/>
          <w:color w:val="1B3A5C"/>
          <w:sz w:val="28"/>
          <w:szCs w:val="28"/>
        </w:rPr>
        <w:t xml:space="preserve">Clause 4.3: Determining the SMS Scope</w:t>
      </w:r>
    </w:p>
    <w:p>
      <w:pPr>
        <w:spacing w:after="160" w:line="320"/>
        <w:jc w:val="both"/>
      </w:pPr>
      <w:r>
        <w:rPr>
          <w:rFonts w:ascii="Georgia" w:cs="Georgia" w:eastAsia="Georgia" w:hAnsi="Georgia"/>
          <w:b w:val="false"/>
          <w:bCs w:val="false"/>
          <w:color w:val="111827"/>
          <w:sz w:val="22"/>
          <w:szCs w:val="22"/>
        </w:rPr>
        <w:t xml:space="preserve">The scope statement is arguably the most consequential output of Clause 4. It defines which services, service components, customers, organizational units, and geographic/delivery models are included in the SMS and which are excluded. The scope statement must be documented and formally approved. It is the first thing an auditor reads during a Stage 1 assessment. Many organizations draft scope statements that are either too broad (impossible to manage consistently) or too narrow (leaving out critical services and creating confusion about what is actually covered).</w:t>
      </w:r>
    </w:p>
    <w:p>
      <w:pPr>
        <w:spacing w:after="80" w:before="200"/>
      </w:pPr>
      <w:r>
        <w:rPr>
          <w:rFonts w:ascii="Arial" w:cs="Arial" w:eastAsia="Arial" w:hAnsi="Arial"/>
          <w:b/>
          <w:bCs/>
          <w:caps w:val="false"/>
          <w:color w:val="1B3A5C"/>
          <w:sz w:val="22"/>
          <w:szCs w:val="22"/>
        </w:rPr>
        <w:t xml:space="preserve">What the Scope Statement Must Include</w:t>
      </w:r>
    </w:p>
    <w:p>
      <w:pPr>
        <w:spacing w:after="160" w:line="320"/>
        <w:jc w:val="both"/>
      </w:pPr>
      <w:r>
        <w:rPr>
          <w:rFonts w:ascii="Georgia" w:cs="Georgia" w:eastAsia="Georgia" w:hAnsi="Georgia"/>
          <w:b w:val="false"/>
          <w:bCs w:val="false"/>
          <w:color w:val="111827"/>
          <w:sz w:val="22"/>
          <w:szCs w:val="22"/>
        </w:rPr>
        <w:t xml:space="preserve">A proper scope statement defines:</w:t>
      </w:r>
    </w:p>
    <w:p>
      <w:pPr>
        <w:spacing w:after="160" w:line="320"/>
        <w:jc w:val="both"/>
      </w:pPr>
      <w:r>
        <w:rPr>
          <w:rFonts w:ascii="Georgia" w:cs="Georgia" w:eastAsia="Georgia" w:hAnsi="Georgia"/>
          <w:b w:val="false"/>
          <w:bCs w:val="false"/>
          <w:color w:val="111827"/>
          <w:sz w:val="22"/>
          <w:szCs w:val="22"/>
        </w:rPr>
        <w:t xml:space="preserve">• Which services are in scope (e.g., "cloud hosting, managed security, 24/7 helpdesk, change management for application development")</w:t>
      </w:r>
    </w:p>
    <w:p>
      <w:pPr>
        <w:spacing w:after="160" w:line="320"/>
        <w:jc w:val="both"/>
      </w:pPr>
      <w:r>
        <w:rPr>
          <w:rFonts w:ascii="Georgia" w:cs="Georgia" w:eastAsia="Georgia" w:hAnsi="Georgia"/>
          <w:b w:val="false"/>
          <w:bCs w:val="false"/>
          <w:color w:val="111827"/>
          <w:sz w:val="22"/>
          <w:szCs w:val="22"/>
        </w:rPr>
        <w:t xml:space="preserve">• Which service components are in scope (e.g., "infrastructure, support tooling, but NOT telecommunications provider services")</w:t>
      </w:r>
    </w:p>
    <w:p>
      <w:pPr>
        <w:spacing w:after="160" w:line="320"/>
        <w:jc w:val="both"/>
      </w:pPr>
      <w:r>
        <w:rPr>
          <w:rFonts w:ascii="Georgia" w:cs="Georgia" w:eastAsia="Georgia" w:hAnsi="Georgia"/>
          <w:b w:val="false"/>
          <w:bCs w:val="false"/>
          <w:color w:val="111827"/>
          <w:sz w:val="22"/>
          <w:szCs w:val="22"/>
        </w:rPr>
        <w:t xml:space="preserve">• Which customer groups or segments are in scope (e.g., "internal business users and external enterprise customers, but NOT residential consumers")</w:t>
      </w:r>
    </w:p>
    <w:p>
      <w:pPr>
        <w:spacing w:after="160" w:line="320"/>
        <w:jc w:val="both"/>
      </w:pPr>
      <w:r>
        <w:rPr>
          <w:rFonts w:ascii="Georgia" w:cs="Georgia" w:eastAsia="Georgia" w:hAnsi="Georgia"/>
          <w:b w:val="false"/>
          <w:bCs w:val="false"/>
          <w:color w:val="111827"/>
          <w:sz w:val="22"/>
          <w:szCs w:val="22"/>
        </w:rPr>
        <w:t xml:space="preserve">• Which organizational units are in scope (e.g., "IT Service Delivery team based in Jakarta, Singapore, and Manila; excludes facilities management and procurement teams")</w:t>
      </w:r>
    </w:p>
    <w:p>
      <w:pPr>
        <w:spacing w:after="160" w:line="320"/>
        <w:jc w:val="both"/>
      </w:pPr>
      <w:r>
        <w:rPr>
          <w:rFonts w:ascii="Georgia" w:cs="Georgia" w:eastAsia="Georgia" w:hAnsi="Georgia"/>
          <w:b w:val="false"/>
          <w:bCs w:val="false"/>
          <w:color w:val="111827"/>
          <w:sz w:val="22"/>
          <w:szCs w:val="22"/>
        </w:rPr>
        <w:t xml:space="preserve">• Geographic/delivery boundaries (e.g., "services delivered from regional data centers in Southeast Asia; outsourced monitoring in India is within scope")</w:t>
      </w:r>
    </w:p>
    <w:p>
      <w:pPr>
        <w:spacing w:after="160" w:line="320"/>
        <w:jc w:val="both"/>
      </w:pPr>
      <w:r>
        <w:rPr>
          <w:rFonts w:ascii="Georgia" w:cs="Georgia" w:eastAsia="Georgia" w:hAnsi="Georgia"/>
          <w:b w:val="false"/>
          <w:bCs w:val="false"/>
          <w:color w:val="111827"/>
          <w:sz w:val="22"/>
          <w:szCs w:val="22"/>
        </w:rPr>
        <w:t xml:space="preserve">• Explicit exclusions—what is deliberately NOT included and why (e.g., "telecommunications services managed by external provider are excluded; SMS applies to our management of that service relationship only")</w:t>
      </w:r>
    </w:p>
    <w:p>
      <w:pPr>
        <w:spacing w:after="80" w:before="200"/>
      </w:pPr>
      <w:r>
        <w:rPr>
          <w:rFonts w:ascii="Arial" w:cs="Arial" w:eastAsia="Arial" w:hAnsi="Arial"/>
          <w:b/>
          <w:bCs/>
          <w:caps w:val="false"/>
          <w:color w:val="1B3A5C"/>
          <w:sz w:val="22"/>
          <w:szCs w:val="22"/>
        </w:rPr>
        <w:t xml:space="preserve">Scope as a Governance Instrument</w:t>
      </w:r>
    </w:p>
    <w:p>
      <w:pPr>
        <w:spacing w:after="160" w:line="320"/>
        <w:jc w:val="both"/>
      </w:pPr>
      <w:r>
        <w:rPr>
          <w:rFonts w:ascii="Georgia" w:cs="Georgia" w:eastAsia="Georgia" w:hAnsi="Georgia"/>
          <w:b w:val="false"/>
          <w:bCs w:val="false"/>
          <w:color w:val="111827"/>
          <w:sz w:val="22"/>
          <w:szCs w:val="22"/>
        </w:rPr>
        <w:t xml:space="preserve">The scope statement serves a governance purpose: it defines the boundary of accountability for the SMS. If a service is in scope, then the organization is responsible for managing it according to ISO 20000 service management practices. If it is out of scope, the SMS has no responsibility for it—though that service may still need to be managed to some degree, just not as part of the SMS. This distinction is critical for audit findings and for internal accountability.</w:t>
      </w:r>
    </w:p>
    <w:p>
      <w:pPr>
        <w:spacing w:after="160" w:line="320"/>
        <w:jc w:val="both"/>
      </w:pPr>
      <w:r>
        <w:rPr>
          <w:rFonts w:ascii="Georgia" w:cs="Georgia" w:eastAsia="Georgia" w:hAnsi="Georgia"/>
          <w:b w:val="false"/>
          <w:bCs w:val="false"/>
          <w:color w:val="111827"/>
          <w:sz w:val="22"/>
          <w:szCs w:val="22"/>
        </w:rPr>
        <w:t xml:space="preserve">Scope that is too broad creates audit risk: the organization commits itself to managing more services than it can realistically control. Scope that is too narrow creates business risk: important services lack systematic management and fall into ad-hoc operations mode. The right scope is one that the organization can genuinely manage according to the standard while meeting customer and regulatory expectations.</w:t>
      </w:r>
    </w:p>
    <w:p>
      <w:pPr>
        <w:pBdr>
          <w:bottom w:val="single" w:color="2563A8" w:sz="4" w:space="4"/>
        </w:pBdr>
        <w:spacing w:after="160" w:before="400"/>
      </w:pPr>
      <w:r>
        <w:rPr>
          <w:rFonts w:ascii="Arial" w:cs="Arial" w:eastAsia="Arial" w:hAnsi="Arial"/>
          <w:b/>
          <w:bCs/>
          <w:caps w:val="false"/>
          <w:color w:val="1B3A5C"/>
          <w:sz w:val="28"/>
          <w:szCs w:val="28"/>
        </w:rPr>
        <w:t xml:space="preserve">Clause 4.4: Establishing, Implementing, Maintaining, and Continually Improving the SMS</w:t>
      </w:r>
    </w:p>
    <w:p>
      <w:pPr>
        <w:spacing w:after="160" w:line="320"/>
        <w:jc w:val="both"/>
      </w:pPr>
      <w:r>
        <w:rPr>
          <w:rFonts w:ascii="Georgia" w:cs="Georgia" w:eastAsia="Georgia" w:hAnsi="Georgia"/>
          <w:b w:val="false"/>
          <w:bCs w:val="false"/>
          <w:color w:val="111827"/>
          <w:sz w:val="22"/>
          <w:szCs w:val="22"/>
        </w:rPr>
        <w:t xml:space="preserve">Clause 4.4 is brief but foundational: the organization must establish, implement, maintain, and continually improve the SMS in order to achieve its intended outcomes and objectives. This is a results-oriented requirement: the SMS exists to deliver value, not merely to satisfy an audit checklist. The intended outcomes, as stated in the scope and objectives, should be tied to business outcomes—reducing service outages, accelerating change deployment, improving cost control, strengthening security posture—not just ISO 20000 compliance.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scope statement is the first thing an auditor reads and the foundation for all subsequent SMS work. It must explicitly define which services, components, customers, and organizational units are included, and which are excluded with clear reasoning. Vague or over-broad scope is a leading cause of Stage 1 non-conformities.</w:t>
            </w:r>
          </w:p>
        </w:tc>
      </w:tr>
    </w:tbl>
    <w:p>
      <w:pPr>
        <w:pBdr>
          <w:bottom w:val="single" w:color="2563A8" w:sz="4" w:space="4"/>
        </w:pBdr>
        <w:spacing w:after="160" w:before="400"/>
      </w:pPr>
      <w:r>
        <w:rPr>
          <w:rFonts w:ascii="Arial" w:cs="Arial" w:eastAsia="Arial" w:hAnsi="Arial"/>
          <w:b/>
          <w:bCs/>
          <w:caps w:val="false"/>
          <w:color w:val="1B3A5C"/>
          <w:sz w:val="28"/>
          <w:szCs w:val="28"/>
        </w:rPr>
        <w:t xml:space="preserve">Common Clause 4 Audit Findings</w:t>
      </w:r>
    </w:p>
    <w:p>
      <w:pPr>
        <w:spacing w:after="160" w:line="320"/>
        <w:jc w:val="both"/>
      </w:pPr>
      <w:r>
        <w:rPr>
          <w:rFonts w:ascii="Georgia" w:cs="Georgia" w:eastAsia="Georgia" w:hAnsi="Georgia"/>
          <w:b w:val="false"/>
          <w:bCs w:val="false"/>
          <w:color w:val="111827"/>
          <w:sz w:val="22"/>
          <w:szCs w:val="22"/>
        </w:rPr>
        <w:t xml:space="preserve">In our experience conducting dozens of Stage 1 assessments, the most frequent Clause 4 findings are:</w:t>
      </w:r>
    </w:p>
    <w:p>
      <w:pPr>
        <w:spacing w:after="160" w:line="320"/>
        <w:jc w:val="both"/>
      </w:pPr>
      <w:r>
        <w:rPr>
          <w:rFonts w:ascii="Georgia" w:cs="Georgia" w:eastAsia="Georgia" w:hAnsi="Georgia"/>
          <w:b w:val="false"/>
          <w:bCs w:val="false"/>
          <w:color w:val="111827"/>
          <w:sz w:val="22"/>
          <w:szCs w:val="22"/>
        </w:rPr>
        <w:t xml:space="preserve">• Vague or incomplete scope statements that do not clearly define service boundaries, geographic limits, or customer segments</w:t>
      </w:r>
    </w:p>
    <w:p>
      <w:pPr>
        <w:spacing w:after="160" w:line="320"/>
        <w:jc w:val="both"/>
      </w:pPr>
      <w:r>
        <w:rPr>
          <w:rFonts w:ascii="Georgia" w:cs="Georgia" w:eastAsia="Georgia" w:hAnsi="Georgia"/>
          <w:b w:val="false"/>
          <w:bCs w:val="false"/>
          <w:color w:val="111827"/>
          <w:sz w:val="22"/>
          <w:szCs w:val="22"/>
        </w:rPr>
        <w:t xml:space="preserve">• Interested parties identified only nominally (a checklist) rather than systematically, with no evidence of how their needs influenced SMS design</w:t>
      </w:r>
    </w:p>
    <w:p>
      <w:pPr>
        <w:spacing w:after="160" w:line="320"/>
        <w:jc w:val="both"/>
      </w:pPr>
      <w:r>
        <w:rPr>
          <w:rFonts w:ascii="Georgia" w:cs="Georgia" w:eastAsia="Georgia" w:hAnsi="Georgia"/>
          <w:b w:val="false"/>
          <w:bCs w:val="false"/>
          <w:color w:val="111827"/>
          <w:sz w:val="22"/>
          <w:szCs w:val="22"/>
        </w:rPr>
        <w:t xml:space="preserve">• Context analysis never updated after initial SMS implementation, despite significant organizational or market changes</w:t>
      </w:r>
    </w:p>
    <w:p>
      <w:pPr>
        <w:spacing w:after="160" w:line="320"/>
        <w:jc w:val="both"/>
      </w:pPr>
      <w:r>
        <w:rPr>
          <w:rFonts w:ascii="Georgia" w:cs="Georgia" w:eastAsia="Georgia" w:hAnsi="Georgia"/>
          <w:b w:val="false"/>
          <w:bCs w:val="false"/>
          <w:color w:val="111827"/>
          <w:sz w:val="22"/>
          <w:szCs w:val="22"/>
        </w:rPr>
        <w:t xml:space="preserve">• Scope statement and actual service management plans misaligned (SMS documentation claims certain services are managed but evidence shows they are not)</w:t>
      </w:r>
    </w:p>
    <w:p>
      <w:pPr>
        <w:spacing w:after="160" w:line="320"/>
        <w:jc w:val="both"/>
      </w:pPr>
      <w:r>
        <w:rPr>
          <w:rFonts w:ascii="Georgia" w:cs="Georgia" w:eastAsia="Georgia" w:hAnsi="Georgia"/>
          <w:b w:val="false"/>
          <w:bCs w:val="false"/>
          <w:color w:val="111827"/>
          <w:sz w:val="22"/>
          <w:szCs w:val="22"/>
        </w:rPr>
        <w:t xml:space="preserve">• Regulatory requirements not explicitly mapped to SMS practices (e.g., POJK requirements acknowledged but not traced through to controls)</w:t>
      </w:r>
    </w:p>
    <w:p>
      <w:pPr>
        <w:spacing w:after="160" w:line="320"/>
        <w:jc w:val="both"/>
      </w:pPr>
      <w:r>
        <w:rPr>
          <w:rFonts w:ascii="Georgia" w:cs="Georgia" w:eastAsia="Georgia" w:hAnsi="Georgia"/>
          <w:b w:val="false"/>
          <w:bCs w:val="false"/>
          <w:color w:val="111827"/>
          <w:sz w:val="22"/>
          <w:szCs w:val="22"/>
        </w:rPr>
        <w:t xml:space="preserve">• No documented evidence that context analysis, interested parties, or scope were approved by top management</w:t>
      </w:r>
    </w:p>
    <w:p>
      <w:pPr>
        <w:pBdr>
          <w:bottom w:val="single" w:color="2563A8" w:sz="4" w:space="4"/>
        </w:pBdr>
        <w:spacing w:after="160" w:before="400"/>
      </w:pPr>
      <w:r>
        <w:rPr>
          <w:rFonts w:ascii="Arial" w:cs="Arial" w:eastAsia="Arial" w:hAnsi="Arial"/>
          <w:b/>
          <w:bCs/>
          <w:caps w:val="false"/>
          <w:color w:val="1B3A5C"/>
          <w:sz w:val="28"/>
          <w:szCs w:val="28"/>
        </w:rPr>
        <w:t xml:space="preserve">Practical Implementation Guidance</w:t>
      </w:r>
    </w:p>
    <w:p>
      <w:pPr>
        <w:spacing w:after="160" w:line="320"/>
        <w:jc w:val="both"/>
      </w:pPr>
      <w:r>
        <w:rPr>
          <w:rFonts w:ascii="Georgia" w:cs="Georgia" w:eastAsia="Georgia" w:hAnsi="Georgia"/>
          <w:b w:val="false"/>
          <w:bCs w:val="false"/>
          <w:color w:val="111827"/>
          <w:sz w:val="22"/>
          <w:szCs w:val="22"/>
        </w:rPr>
        <w:t xml:space="preserve">To implement Clause 4 effectively, begin with a context workshop involving representatives from IT leadership, business units, compliance/risk, and customer management. Present external factors (regulatory landscape, market trends) and internal factors (organizational structure, technology platform, financial constraints). Conduct a facilitated discussion to identify what the SMS must accomplish given these constraints.</w:t>
      </w:r>
    </w:p>
    <w:p>
      <w:pPr>
        <w:spacing w:after="160" w:line="320"/>
        <w:jc w:val="both"/>
      </w:pPr>
      <w:r>
        <w:rPr>
          <w:rFonts w:ascii="Georgia" w:cs="Georgia" w:eastAsia="Georgia" w:hAnsi="Georgia"/>
          <w:b w:val="false"/>
          <w:bCs w:val="false"/>
          <w:color w:val="111827"/>
          <w:sz w:val="22"/>
          <w:szCs w:val="22"/>
        </w:rPr>
        <w:t xml:space="preserve">Next, systematically identify interested parties. Create an interested party register with columns for party name, category (customer, regulator, employee, supplier, etc.), their needs/expectations, and how their requirements translate into SMS design decisions. Have this register reviewed and approved by relevant stakeholders.</w:t>
      </w:r>
    </w:p>
    <w:p>
      <w:pPr>
        <w:spacing w:after="160" w:line="320"/>
        <w:jc w:val="both"/>
      </w:pPr>
      <w:r>
        <w:rPr>
          <w:rFonts w:ascii="Georgia" w:cs="Georgia" w:eastAsia="Georgia" w:hAnsi="Georgia"/>
          <w:b w:val="false"/>
          <w:bCs w:val="false"/>
          <w:color w:val="111827"/>
          <w:sz w:val="22"/>
          <w:szCs w:val="22"/>
        </w:rPr>
        <w:t xml:space="preserve">Finally, draft a scope statement using the template provided below. Have it reviewed for completeness, realism, and alignment with SMS objectives before formal approval. Schedule an annual scope review (minimum) to confirm it remains current as the business and regulatory landscape evolve.</w:t>
      </w:r>
    </w:p>
    <w:p>
      <w:pPr>
        <w:pBdr>
          <w:bottom w:val="single" w:color="2563A8" w:sz="4" w:space="4"/>
        </w:pBdr>
        <w:spacing w:after="160" w:before="400"/>
      </w:pPr>
      <w:r>
        <w:rPr>
          <w:rFonts w:ascii="Arial" w:cs="Arial" w:eastAsia="Arial" w:hAnsi="Arial"/>
          <w:b/>
          <w:bCs/>
          <w:caps w:val="false"/>
          <w:color w:val="1B3A5C"/>
          <w:sz w:val="28"/>
          <w:szCs w:val="28"/>
        </w:rPr>
        <w:t xml:space="preserve">Example: Interested Parties and Their Needs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Interested Party</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Category</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Needs / Expectations</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Relevance to SMS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Chief Information Officer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Leadership</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Services delivered on budget; risk managed; strategic alignment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objectives must support business strategy and financial targets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OJK (Financial Regulator)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Regulator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Compliance with banking IT regulations; service continuity assurance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must demonstrate compliance with POJK; business continuity plans required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Enterprise Customers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Customer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99.5% uptime SLA; security incident response &lt;4hrs; cost predictability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SLAs must be defined and operationalized; incident management and security controls required</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IT Operations Team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Employee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Clear roles and responsibilities; training and tools; workload predictability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management, role definition, competence management must be documented</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Internal vs. External Context Factors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Factor Type</w:t>
            </w:r>
          </w:p>
        </w:tc>
        <w:tc>
          <w:tcPr>
            <w:tcW w:type="dxa" w:w="312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Examples</w:t>
            </w:r>
          </w:p>
        </w:tc>
        <w:tc>
          <w:tcPr>
            <w:tcW w:type="dxa" w:w="312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SMS Implication</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Internal</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Legacy ERP systems, flat organization structure, 2-year budget cycle, 200-person IT department</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must work within these constraints; cannot assume cloud-native agility or unlimited funding</w:t>
            </w:r>
          </w:p>
        </w:tc>
      </w:tr>
      <w:tr>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External</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POJK regulations, cloud market commoditization, customers demanding managed services, BSSN cybersecurity standards</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must address compliance requirements, adapt to market trends, meet customer expectations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Internal</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Strong security culture, existing ITIL experience, executive sponsorship for SMS project</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can build on existing strengths; reduce training burden; accelerate adoption</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Scope boundaries must be consistent across all SMS documented information. If the scope statement says "all enterprise services in Jakarta region," then the service management plan, SLAs, change schedules, and audit scope must all align with this geographic boundary. Misalignment between scope statement and other documentation is one of the most common Stage 1 audit findings.</w:t>
            </w:r>
          </w:p>
        </w:tc>
      </w:tr>
    </w:tbl>
    <w:p>
      <w:pPr>
        <w:pBdr>
          <w:bottom w:val="single" w:color="2563A8" w:sz="4" w:space="4"/>
        </w:pBdr>
        <w:spacing w:after="160" w:before="400"/>
      </w:pPr>
      <w:r>
        <w:rPr>
          <w:rFonts w:ascii="Arial" w:cs="Arial" w:eastAsia="Arial" w:hAnsi="Arial"/>
          <w:b/>
          <w:bCs/>
          <w:caps w:val="false"/>
          <w:color w:val="1B3A5C"/>
          <w:sz w:val="28"/>
          <w:szCs w:val="28"/>
        </w:rPr>
        <w:t xml:space="preserve">Regulatory Requirements in the Indonesian Context</w:t>
      </w:r>
    </w:p>
    <w:p>
      <w:pPr>
        <w:spacing w:after="160" w:line="320"/>
        <w:jc w:val="both"/>
      </w:pPr>
      <w:r>
        <w:rPr>
          <w:rFonts w:ascii="Georgia" w:cs="Georgia" w:eastAsia="Georgia" w:hAnsi="Georgia"/>
          <w:b w:val="false"/>
          <w:bCs w:val="false"/>
          <w:color w:val="111827"/>
          <w:sz w:val="22"/>
          <w:szCs w:val="22"/>
        </w:rPr>
        <w:t xml:space="preserve">Indonesian service organizations are increasingly subject to multiple regulatory frameworks. The SMS must explicitly acknowledge these:</w:t>
      </w:r>
    </w:p>
    <w:p>
      <w:pPr>
        <w:spacing w:after="160" w:line="320"/>
        <w:jc w:val="both"/>
      </w:pPr>
      <w:r>
        <w:rPr>
          <w:rFonts w:ascii="Georgia" w:cs="Georgia" w:eastAsia="Georgia" w:hAnsi="Georgia"/>
          <w:b w:val="false"/>
          <w:bCs w:val="false"/>
          <w:color w:val="111827"/>
          <w:sz w:val="22"/>
          <w:szCs w:val="22"/>
        </w:rPr>
        <w:t xml:space="preserve">• POJK (Indonesian Financial Authority Regulations) for financial services providers: requires IT governance, business continuity, information security, change management</w:t>
      </w:r>
    </w:p>
    <w:p>
      <w:pPr>
        <w:spacing w:after="160" w:line="320"/>
        <w:jc w:val="both"/>
      </w:pPr>
      <w:r>
        <w:rPr>
          <w:rFonts w:ascii="Georgia" w:cs="Georgia" w:eastAsia="Georgia" w:hAnsi="Georgia"/>
          <w:b w:val="false"/>
          <w:bCs w:val="false"/>
          <w:color w:val="111827"/>
          <w:sz w:val="22"/>
          <w:szCs w:val="22"/>
        </w:rPr>
        <w:t xml:space="preserve">• BSSN cybersecurity standards: information security governance, incident response, penetration testing, staff security awareness</w:t>
      </w:r>
    </w:p>
    <w:p>
      <w:pPr>
        <w:spacing w:after="160" w:line="320"/>
        <w:jc w:val="both"/>
      </w:pPr>
      <w:r>
        <w:rPr>
          <w:rFonts w:ascii="Georgia" w:cs="Georgia" w:eastAsia="Georgia" w:hAnsi="Georgia"/>
          <w:b w:val="false"/>
          <w:bCs w:val="false"/>
          <w:color w:val="111827"/>
          <w:sz w:val="22"/>
          <w:szCs w:val="22"/>
        </w:rPr>
        <w:t xml:space="preserve">• UU PDP (Law on Personal Data Protection): data protection impact assessments, consent management, incident notification procedures</w:t>
      </w:r>
    </w:p>
    <w:p>
      <w:pPr>
        <w:spacing w:after="160" w:line="320"/>
        <w:jc w:val="both"/>
      </w:pPr>
      <w:r>
        <w:rPr>
          <w:rFonts w:ascii="Georgia" w:cs="Georgia" w:eastAsia="Georgia" w:hAnsi="Georgia"/>
          <w:b w:val="false"/>
          <w:bCs w:val="false"/>
          <w:color w:val="111827"/>
          <w:sz w:val="22"/>
          <w:szCs w:val="22"/>
        </w:rPr>
        <w:t xml:space="preserve">• SPBE (Government Information System Standards) for government service providers: interoperability requirements, security standards, service performance metrics</w:t>
      </w:r>
    </w:p>
    <w:p>
      <w:pPr>
        <w:spacing w:after="160" w:line="320"/>
        <w:jc w:val="both"/>
      </w:pPr>
      <w:r>
        <w:rPr>
          <w:rFonts w:ascii="Georgia" w:cs="Georgia" w:eastAsia="Georgia" w:hAnsi="Georgia"/>
          <w:b w:val="false"/>
          <w:bCs w:val="false"/>
          <w:color w:val="111827"/>
          <w:sz w:val="22"/>
          <w:szCs w:val="22"/>
        </w:rPr>
        <w:t xml:space="preserve">For each applicable regulation, the SMS scope and objectives must explicitly address compliance. During context analysis, regulatory requirements should be mapped to the service management practices that will satisfy them.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context and stakeholder register templates that accelerate Clause 4 implementation. Use the regulatory requirements mapping feature to explicitly trace POJK, BSSN, UU PDP, and SPBE compliance to SMS practices. The context analysis and scope definition templates include checkpoints for common Clause 4 audit findings.</w:t>
            </w:r>
          </w:p>
        </w:tc>
      </w:tr>
    </w:tbl>
    <w:p>
      <w:pPr>
        <w:pBdr>
          <w:bottom w:val="single" w:color="2563A8" w:sz="4" w:space="4"/>
        </w:pBdr>
        <w:spacing w:after="160" w:before="400"/>
      </w:pPr>
      <w:r>
        <w:rPr>
          <w:rFonts w:ascii="Arial" w:cs="Arial" w:eastAsia="Arial" w:hAnsi="Arial"/>
          <w:b/>
          <w:bCs/>
          <w:caps w:val="false"/>
          <w:color w:val="1B3A5C"/>
          <w:sz w:val="28"/>
          <w:szCs w:val="28"/>
        </w:rPr>
        <w:t xml:space="preserve">Conclusion</w:t>
      </w:r>
    </w:p>
    <w:p>
      <w:pPr>
        <w:spacing w:after="160" w:line="320"/>
        <w:jc w:val="both"/>
      </w:pPr>
      <w:r>
        <w:rPr>
          <w:rFonts w:ascii="Georgia" w:cs="Georgia" w:eastAsia="Georgia" w:hAnsi="Georgia"/>
          <w:b w:val="false"/>
          <w:bCs w:val="false"/>
          <w:color w:val="111827"/>
          <w:sz w:val="22"/>
          <w:szCs w:val="22"/>
        </w:rPr>
        <w:t xml:space="preserve">Clause 4—understanding the organization and its context—is the foundation upon which effective service management is built. It requires genuine analysis of internal capabilities and constraints, external market and regulatory forces, and stakeholder needs. It demands that the organization make a deliberate, documented choice about what services and scope it will manage, and that choice must be realistic, clearly stated, and aligned with top management expectations. Organizations that invest adequate time in Clause 4 before rushing into SMS implementation generally have a much smoother audit and more effective service management system in operation. Those that skip or shortcut this phase often find themselves re-doing their scope statement and context analysis during Stage 1 audit corrections.</w:t>
      </w:r>
    </w:p>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2026-04-05T09:33:03.659Z</dcterms:created>
  <dcterms:modified xsi:type="dcterms:W3CDTF">2026-04-05T09:33:03.659Z</dcterms:modified>
</cp:coreProperties>
</file>

<file path=docProps/custom.xml><?xml version="1.0" encoding="utf-8"?>
<Properties xmlns="http://schemas.openxmlformats.org/officeDocument/2006/custom-properties" xmlns:vt="http://schemas.openxmlformats.org/officeDocument/2006/docPropsVTypes"/>
</file>